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commentRangeStart w:id="0"/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commentRangeEnd w:id="0"/>
      <w:r w:rsidR="007910B0">
        <w:rPr>
          <w:rStyle w:val="aa"/>
        </w:rPr>
        <w:commentReference w:id="0"/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637693D" w:rsidR="00792594" w:rsidRPr="00D5591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D55910" w:rsidRPr="00D55910">
        <w:rPr>
          <w:rFonts w:ascii="Times New Roman" w:hAnsi="Times New Roman"/>
          <w:sz w:val="24"/>
          <w:szCs w:val="24"/>
        </w:rPr>
        <w:t>Электродвигатель 1ВАО-450LA-4 315/1500</w:t>
      </w:r>
      <w:r w:rsidRPr="00D55910">
        <w:rPr>
          <w:rFonts w:ascii="Times New Roman" w:hAnsi="Times New Roman"/>
          <w:sz w:val="24"/>
          <w:szCs w:val="24"/>
        </w:rPr>
        <w:t xml:space="preserve"> </w:t>
      </w:r>
    </w:p>
    <w:p w14:paraId="19DE23CD" w14:textId="77777777" w:rsidR="00D5591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D55910" w:rsidRPr="00D55910">
        <w:rPr>
          <w:rFonts w:ascii="Times New Roman" w:hAnsi="Times New Roman"/>
          <w:sz w:val="24"/>
          <w:szCs w:val="24"/>
        </w:rPr>
        <w:t>271125.400.000002</w:t>
      </w:r>
    </w:p>
    <w:p w14:paraId="7165519B" w14:textId="1EE6DDF8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1A84A67E" w14:textId="558FD879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Электродвигатель взрывозащищенный асинхронный обдуваемый – предназначены для эксплуатации во взрывоопасных, пожароопасных помещениях всех классов и категорий с пылью или газом, а также на наружных установках. </w:t>
      </w:r>
    </w:p>
    <w:p w14:paraId="6DF3DD07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34AA8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4503E546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Мощность, кВт – 315;</w:t>
      </w:r>
    </w:p>
    <w:p w14:paraId="417F8AE4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Номинальная частота вращения, об/мин – 1500;</w:t>
      </w:r>
    </w:p>
    <w:p w14:paraId="55002C36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Номинальное напряжение, кВ – 6;</w:t>
      </w:r>
    </w:p>
    <w:p w14:paraId="02ACF63A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- Номинальная частота, Гц – 50; </w:t>
      </w:r>
    </w:p>
    <w:p w14:paraId="406EC40B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Номинальный ток – не более 36А;</w:t>
      </w:r>
    </w:p>
    <w:p w14:paraId="7463C3F2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КПД, % - не менее 95;</w:t>
      </w:r>
    </w:p>
    <w:p w14:paraId="3261059D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Коэффициент мощности – не менее 0,89;</w:t>
      </w:r>
    </w:p>
    <w:p w14:paraId="4F2124B0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- Отношение пускового момента к номинальному – не менее 1,1; </w:t>
      </w:r>
    </w:p>
    <w:p w14:paraId="458946CF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Отношение максимального момента к номинальному – не менее 3;</w:t>
      </w:r>
    </w:p>
    <w:p w14:paraId="3E6E48FE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Отношение пускового тока к номинальному – не более 7;</w:t>
      </w:r>
    </w:p>
    <w:p w14:paraId="27F3114A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Степень защиты – не менее IP54;</w:t>
      </w:r>
    </w:p>
    <w:p w14:paraId="32EB15A1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Рабочая температура:  -25...+50°С;</w:t>
      </w:r>
    </w:p>
    <w:p w14:paraId="7FA9A1D8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Категория размещения – 2;</w:t>
      </w:r>
    </w:p>
    <w:p w14:paraId="29B2CBF0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Классы нагревостойкости изоляции – Ғ;</w:t>
      </w:r>
    </w:p>
    <w:p w14:paraId="4B468264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Конструктивное исполнение – IМ1001;</w:t>
      </w:r>
    </w:p>
    <w:p w14:paraId="6B0505C0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Номинальный режим работы – S1;</w:t>
      </w:r>
    </w:p>
    <w:p w14:paraId="3ABA8545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Способ охлаждения – ICA 0151(обдуваемые с самовентиляцией);</w:t>
      </w:r>
    </w:p>
    <w:p w14:paraId="20977EE9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Вид и уровень взрывозащиты  1ExdIIВT4;</w:t>
      </w:r>
    </w:p>
    <w:p w14:paraId="6EEC7820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Масса, кг – не более 2500.</w:t>
      </w:r>
    </w:p>
    <w:p w14:paraId="00C94868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В двигателях должен быть предусмотрен контроль температуры подшипников.</w:t>
      </w:r>
    </w:p>
    <w:p w14:paraId="44EB7D18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Сопротивление изоляции обмоток статора относительно корпуса и между обмотками при рабочей температуре для напряжения 6 кВ, MOм – не менее 6;</w:t>
      </w:r>
    </w:p>
    <w:p w14:paraId="192AEE38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Сопротивление изоляции обмотки ротора, МОм – не менее 100;</w:t>
      </w:r>
    </w:p>
    <w:p w14:paraId="1F0199E3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Коробка выводом двигателя располагается сбоку справа, если смотреть со стороны выступающего конца вала.</w:t>
      </w:r>
    </w:p>
    <w:p w14:paraId="1B794E24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Подшипниковые узлы имеют штатные места установки датчиков для измерения температуры подшипников. </w:t>
      </w:r>
    </w:p>
    <w:p w14:paraId="17B78928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 </w:t>
      </w:r>
    </w:p>
    <w:p w14:paraId="77158158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Требования к системам управления, защиты, диагностики и сигнализации.</w:t>
      </w:r>
    </w:p>
    <w:p w14:paraId="0F10078E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В двигателе в заводских условиях установлены следующие позиции КИПиА, выполняющие: </w:t>
      </w:r>
    </w:p>
    <w:p w14:paraId="74FE8C5A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 измерение температуры обмоток статора и железа сердечника статора;</w:t>
      </w:r>
    </w:p>
    <w:p w14:paraId="645B5A9E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 измерение температуры масла на сливе из подшипников. </w:t>
      </w:r>
    </w:p>
    <w:p w14:paraId="1FB05E67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26AB0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Требования надежности</w:t>
      </w:r>
    </w:p>
    <w:p w14:paraId="5F63B089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Наработка до отказа, ч – не менее 33000;</w:t>
      </w:r>
    </w:p>
    <w:p w14:paraId="0E78665E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Коэффициент готовности – не менее 0,99;</w:t>
      </w:r>
    </w:p>
    <w:p w14:paraId="3BFBDB85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Срок службы, лет – не менее 20;</w:t>
      </w:r>
    </w:p>
    <w:p w14:paraId="48216012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- Ресурс до капитального ремонта, ч – не менее 80000.</w:t>
      </w:r>
    </w:p>
    <w:p w14:paraId="436F7BD0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EDBC45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Маркировка</w:t>
      </w:r>
    </w:p>
    <w:p w14:paraId="095C7784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На корпусе каждого двигателя должна быть установлена табличка ГОСТ 12969 с указанием данных двигателя по ГОСТ IEC60034-1, ГОСТ18620.</w:t>
      </w:r>
    </w:p>
    <w:p w14:paraId="3B61AB44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lastRenderedPageBreak/>
        <w:t>Требование к маркировке способ нанесения маркировки, качество маркировки по ГОСТ 18620. Крепление табличек должно быть неразъемным. На видном месте двигателя должно быть указано направление вращения ротора стрелкой (отлитой или прикрепленной), окрашенной в контрастный цвет по отношению к окраске корпусе двигателя. Направление вращения ротора двигателя определяется заказчиком в соответствии с направлением вращения приводимого механизма. На крышке коробки выводов должна быть выполнена надпись «Открывать, отключив от сети». Допускается указанную надпись выполнять на табличке фотохимическим способом.</w:t>
      </w:r>
    </w:p>
    <w:p w14:paraId="2CF41EE7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525D89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Габаритные, установочные и присоединительные размеры</w:t>
      </w:r>
    </w:p>
    <w:p w14:paraId="6EDB0D89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• Высота вала, мм – 450;</w:t>
      </w:r>
    </w:p>
    <w:p w14:paraId="64A32685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• Общая высота, мм – не более 1070;</w:t>
      </w:r>
    </w:p>
    <w:p w14:paraId="6209AFEE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• Общая длина, мм – не более 1900;</w:t>
      </w:r>
    </w:p>
    <w:p w14:paraId="28AF21B7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• Общая ширина, мм – не более 900;</w:t>
      </w:r>
    </w:p>
    <w:p w14:paraId="61AD44AB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• Масса электродвигателя, кг – не более 2500.</w:t>
      </w:r>
    </w:p>
    <w:p w14:paraId="4F303022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6D6749" w14:textId="5523120B" w:rsid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Товары должны быть новые 2021г. изготовления, ранее не находившиеся на хранении и сроком гарантии завода изготовителя не менее 1 года. </w:t>
      </w:r>
    </w:p>
    <w:p w14:paraId="3D7814A0" w14:textId="77777777" w:rsidR="00212876" w:rsidRPr="00D55910" w:rsidRDefault="00212876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20343C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В комплекте поставки входит:</w:t>
      </w:r>
    </w:p>
    <w:p w14:paraId="7580BE08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 xml:space="preserve"> Двигатель, шт – 1; </w:t>
      </w:r>
    </w:p>
    <w:p w14:paraId="670729BF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Запасные части для двигателя (ЗИП):</w:t>
      </w:r>
    </w:p>
    <w:p w14:paraId="18D97382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 Кольцо уплотнительное, шт – 1;</w:t>
      </w:r>
    </w:p>
    <w:p w14:paraId="69310403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 Изолятор, шт – 1;</w:t>
      </w:r>
    </w:p>
    <w:p w14:paraId="1873D35D" w14:textId="77777777" w:rsidR="00D55910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 Термопреобразователь измерения температуры подшипника, шт – 2;</w:t>
      </w:r>
    </w:p>
    <w:p w14:paraId="18738A0D" w14:textId="2E805C52" w:rsidR="00792594" w:rsidRPr="00D55910" w:rsidRDefault="00D55910" w:rsidP="00D55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5910">
        <w:rPr>
          <w:rFonts w:ascii="Times New Roman" w:hAnsi="Times New Roman"/>
          <w:sz w:val="24"/>
          <w:szCs w:val="24"/>
        </w:rPr>
        <w:t> Съемник подшипников, шт – 1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E033654" w14:textId="77777777" w:rsidR="007B3682" w:rsidRPr="00566A87" w:rsidRDefault="007B3682" w:rsidP="007B36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C47E61F" w14:textId="77777777" w:rsidR="007B3682" w:rsidRPr="00566A87" w:rsidRDefault="007B3682" w:rsidP="007B36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t>Балтаев Нурлан Абдрешович</w:t>
      </w:r>
    </w:p>
    <w:p w14:paraId="5D53F02D" w14:textId="77777777" w:rsidR="007B3682" w:rsidRDefault="007B3682" w:rsidP="007B36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10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7831E209" w14:textId="77777777" w:rsidR="007B3682" w:rsidRDefault="007B3682" w:rsidP="007B3682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" w:name="_GoBack"/>
      <w:bookmarkEnd w:id="1"/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1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Габдоллин Курманбек Серикович" w:date="2024-01-17T17:28:00Z" w:initials="K">
    <w:p w14:paraId="7BC0436B" w14:textId="77777777" w:rsidR="007910B0" w:rsidRDefault="007910B0" w:rsidP="007910B0">
      <w:pPr>
        <w:pStyle w:val="ab"/>
      </w:pPr>
      <w:r>
        <w:rPr>
          <w:rStyle w:val="aa"/>
        </w:rPr>
        <w:annotationRef/>
      </w:r>
      <w:r>
        <w:t>В техспецификации не указано:</w:t>
      </w:r>
    </w:p>
    <w:p w14:paraId="19E75D74" w14:textId="77777777" w:rsidR="007910B0" w:rsidRDefault="007910B0" w:rsidP="007910B0">
      <w:pPr>
        <w:pStyle w:val="ab"/>
        <w:numPr>
          <w:ilvl w:val="0"/>
          <w:numId w:val="49"/>
        </w:numPr>
      </w:pPr>
      <w:r>
        <w:t xml:space="preserve"> Наличие шпонки на валу.</w:t>
      </w:r>
    </w:p>
    <w:p w14:paraId="5BF8EF19" w14:textId="77777777" w:rsidR="007910B0" w:rsidRDefault="007910B0" w:rsidP="007910B0">
      <w:pPr>
        <w:pStyle w:val="ab"/>
        <w:numPr>
          <w:ilvl w:val="0"/>
          <w:numId w:val="49"/>
        </w:numPr>
      </w:pPr>
      <w:r>
        <w:t xml:space="preserve"> Климатическое исполнение и категория размещения ЭД по ГОСТ 15150-69. </w:t>
      </w:r>
    </w:p>
    <w:p w14:paraId="77F9889E" w14:textId="77777777" w:rsidR="007910B0" w:rsidRDefault="007910B0" w:rsidP="007910B0">
      <w:pPr>
        <w:pStyle w:val="ab"/>
        <w:numPr>
          <w:ilvl w:val="0"/>
          <w:numId w:val="49"/>
        </w:numPr>
      </w:pPr>
      <w:r>
        <w:t xml:space="preserve"> Материал статора: чугун, сплав из алюминия и т.д.  </w:t>
      </w:r>
    </w:p>
    <w:p w14:paraId="3AFAFCE0" w14:textId="77777777" w:rsidR="007910B0" w:rsidRDefault="007910B0" w:rsidP="007910B0">
      <w:pPr>
        <w:pStyle w:val="ab"/>
        <w:numPr>
          <w:ilvl w:val="0"/>
          <w:numId w:val="49"/>
        </w:numPr>
        <w:rPr>
          <w:strike/>
        </w:rPr>
      </w:pPr>
      <w:r>
        <w:t xml:space="preserve"> </w:t>
      </w:r>
      <w:r>
        <w:rPr>
          <w:strike/>
          <w:color w:val="FF0000"/>
        </w:rPr>
        <w:t xml:space="preserve">Степень защиты ЭД по ГОСТ 14254-2015 </w:t>
      </w:r>
    </w:p>
    <w:p w14:paraId="49C3F15F" w14:textId="77777777" w:rsidR="007910B0" w:rsidRDefault="007910B0" w:rsidP="007910B0">
      <w:pPr>
        <w:pStyle w:val="ab"/>
        <w:numPr>
          <w:ilvl w:val="0"/>
          <w:numId w:val="49"/>
        </w:numPr>
      </w:pPr>
      <w:r>
        <w:t xml:space="preserve"> Исполнение вводного устройства. </w:t>
      </w:r>
    </w:p>
    <w:p w14:paraId="7D0F94BC" w14:textId="77777777" w:rsidR="007910B0" w:rsidRDefault="007910B0" w:rsidP="007910B0">
      <w:pPr>
        <w:pStyle w:val="ab"/>
        <w:numPr>
          <w:ilvl w:val="0"/>
          <w:numId w:val="49"/>
        </w:numPr>
        <w:rPr>
          <w:strike/>
        </w:rPr>
      </w:pPr>
      <w:r>
        <w:t xml:space="preserve"> </w:t>
      </w:r>
      <w:r>
        <w:rPr>
          <w:strike/>
          <w:color w:val="FF0000"/>
        </w:rPr>
        <w:t>Асинхронный или синхронный.</w:t>
      </w:r>
    </w:p>
    <w:p w14:paraId="59C9FE96" w14:textId="77777777" w:rsidR="007910B0" w:rsidRDefault="007910B0" w:rsidP="007910B0">
      <w:pPr>
        <w:pStyle w:val="ab"/>
        <w:numPr>
          <w:ilvl w:val="0"/>
          <w:numId w:val="49"/>
        </w:numPr>
      </w:pPr>
      <w:r>
        <w:t xml:space="preserve"> С</w:t>
      </w:r>
      <w:r>
        <w:rPr>
          <w:strike/>
          <w:color w:val="FF0000"/>
        </w:rPr>
        <w:t>пособ охлаждения по ГОСТ Р МЭК 60034-6-2012.</w:t>
      </w:r>
    </w:p>
    <w:p w14:paraId="3BF5073B" w14:textId="1FEA3960" w:rsidR="007910B0" w:rsidRDefault="00C56C57" w:rsidP="007910B0">
      <w:pPr>
        <w:pStyle w:val="ab"/>
        <w:numPr>
          <w:ilvl w:val="0"/>
          <w:numId w:val="49"/>
        </w:numPr>
      </w:pPr>
      <w:r>
        <w:t xml:space="preserve"> </w:t>
      </w:r>
      <w:r w:rsidR="007910B0">
        <w:t>Тип подшипников: качения/скольжения.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F5073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F5073B" w16cid:durableId="29528CC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CEE27" w14:textId="77777777" w:rsidR="009E0696" w:rsidRDefault="009E0696" w:rsidP="00196677">
      <w:pPr>
        <w:spacing w:after="0" w:line="240" w:lineRule="auto"/>
      </w:pPr>
      <w:r>
        <w:separator/>
      </w:r>
    </w:p>
  </w:endnote>
  <w:endnote w:type="continuationSeparator" w:id="0">
    <w:p w14:paraId="459707F4" w14:textId="77777777" w:rsidR="009E0696" w:rsidRDefault="009E0696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AF1CE" w14:textId="77777777" w:rsidR="009E0696" w:rsidRDefault="009E0696" w:rsidP="00196677">
      <w:pPr>
        <w:spacing w:after="0" w:line="240" w:lineRule="auto"/>
      </w:pPr>
      <w:r>
        <w:separator/>
      </w:r>
    </w:p>
  </w:footnote>
  <w:footnote w:type="continuationSeparator" w:id="0">
    <w:p w14:paraId="1302F0B0" w14:textId="77777777" w:rsidR="009E0696" w:rsidRDefault="009E0696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438CB614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682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2876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1BE9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6D22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10B0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3682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E0696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56C57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55910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07EBB"/>
    <w:rsid w:val="00E106D8"/>
    <w:rsid w:val="00E137CE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n.baltayev@omg.kmg.kz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C22D1-F466-4247-830C-55229C483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4</cp:revision>
  <cp:lastPrinted>2023-08-28T08:30:00Z</cp:lastPrinted>
  <dcterms:created xsi:type="dcterms:W3CDTF">2024-01-17T11:30:00Z</dcterms:created>
  <dcterms:modified xsi:type="dcterms:W3CDTF">2024-02-20T14:58:00Z</dcterms:modified>
</cp:coreProperties>
</file>